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1C1" w:rsidRDefault="00CA11C1" w:rsidP="00CA11C1">
      <w:pPr>
        <w:spacing w:after="0" w:line="240" w:lineRule="auto"/>
        <w:jc w:val="center"/>
        <w:rPr>
          <w:b/>
          <w:color w:val="000000" w:themeColor="text1"/>
          <w:sz w:val="28"/>
          <w:szCs w:val="28"/>
        </w:rPr>
      </w:pPr>
      <w:r w:rsidRPr="00CA11C1">
        <w:rPr>
          <w:b/>
          <w:color w:val="000000" w:themeColor="text1"/>
          <w:sz w:val="28"/>
          <w:szCs w:val="28"/>
        </w:rPr>
        <w:t>Кадастровая палата по региону проводит консультации и выдает электронную подпись</w:t>
      </w:r>
    </w:p>
    <w:p w:rsidR="00CA11C1" w:rsidRDefault="00CA11C1" w:rsidP="00CA11C1">
      <w:pPr>
        <w:spacing w:after="0" w:line="240" w:lineRule="auto"/>
        <w:ind w:firstLine="709"/>
        <w:rPr>
          <w:color w:val="000000" w:themeColor="text1"/>
          <w:sz w:val="24"/>
          <w:szCs w:val="24"/>
        </w:rPr>
      </w:pPr>
    </w:p>
    <w:p w:rsidR="00CA11C1" w:rsidRDefault="00CA11C1" w:rsidP="00CA11C1">
      <w:pPr>
        <w:spacing w:after="0" w:line="240" w:lineRule="auto"/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Кадастровая палата по Новосибирской области сообщает о возможностях получить в учреждении консультационные услуги и услуги удостоверяющего центра. </w:t>
      </w:r>
    </w:p>
    <w:p w:rsidR="00CA11C1" w:rsidRPr="004533DB" w:rsidRDefault="00CA11C1" w:rsidP="00CA11C1">
      <w:pPr>
        <w:spacing w:after="0" w:line="240" w:lineRule="auto"/>
        <w:ind w:firstLine="709"/>
        <w:rPr>
          <w:color w:val="000000" w:themeColor="text1"/>
          <w:sz w:val="24"/>
          <w:szCs w:val="24"/>
        </w:rPr>
      </w:pPr>
      <w:r w:rsidRPr="004533DB">
        <w:rPr>
          <w:color w:val="000000" w:themeColor="text1"/>
          <w:sz w:val="24"/>
          <w:szCs w:val="24"/>
        </w:rPr>
        <w:t xml:space="preserve">На базе Кадастровой палаты по </w:t>
      </w:r>
      <w:r>
        <w:rPr>
          <w:color w:val="000000" w:themeColor="text1"/>
          <w:sz w:val="24"/>
          <w:szCs w:val="24"/>
        </w:rPr>
        <w:t>региону</w:t>
      </w:r>
      <w:r w:rsidRPr="004533DB">
        <w:rPr>
          <w:color w:val="000000" w:themeColor="text1"/>
          <w:sz w:val="24"/>
          <w:szCs w:val="24"/>
        </w:rPr>
        <w:t xml:space="preserve"> функционирует </w:t>
      </w:r>
      <w:r>
        <w:rPr>
          <w:color w:val="000000" w:themeColor="text1"/>
          <w:sz w:val="24"/>
          <w:szCs w:val="24"/>
        </w:rPr>
        <w:t>у</w:t>
      </w:r>
      <w:r w:rsidRPr="004533DB">
        <w:rPr>
          <w:color w:val="000000" w:themeColor="text1"/>
          <w:sz w:val="24"/>
          <w:szCs w:val="24"/>
        </w:rPr>
        <w:t xml:space="preserve">достоверяющий центр, предоставляющий услуги по созданию, выдаче и обслуживанию квалифицированных сертификатов ключей </w:t>
      </w:r>
      <w:r>
        <w:rPr>
          <w:color w:val="000000" w:themeColor="text1"/>
          <w:sz w:val="24"/>
          <w:szCs w:val="24"/>
        </w:rPr>
        <w:t xml:space="preserve">проверки </w:t>
      </w:r>
      <w:r w:rsidRPr="004533DB">
        <w:rPr>
          <w:color w:val="000000" w:themeColor="text1"/>
          <w:sz w:val="24"/>
          <w:szCs w:val="24"/>
        </w:rPr>
        <w:t xml:space="preserve">электронной подписи. </w:t>
      </w:r>
    </w:p>
    <w:p w:rsidR="00CA11C1" w:rsidRPr="004533DB" w:rsidRDefault="00CA11C1" w:rsidP="00CA11C1">
      <w:pPr>
        <w:spacing w:after="0" w:line="240" w:lineRule="auto"/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А</w:t>
      </w:r>
      <w:r w:rsidRPr="004533DB">
        <w:rPr>
          <w:color w:val="000000" w:themeColor="text1"/>
          <w:sz w:val="24"/>
          <w:szCs w:val="24"/>
        </w:rPr>
        <w:t>налог собственноручной подписи</w:t>
      </w:r>
      <w:r>
        <w:rPr>
          <w:color w:val="000000" w:themeColor="text1"/>
          <w:sz w:val="24"/>
          <w:szCs w:val="24"/>
        </w:rPr>
        <w:t xml:space="preserve"> </w:t>
      </w:r>
      <w:r w:rsidRPr="004533DB">
        <w:rPr>
          <w:color w:val="000000" w:themeColor="text1"/>
          <w:sz w:val="24"/>
          <w:szCs w:val="24"/>
        </w:rPr>
        <w:t>–</w:t>
      </w:r>
      <w:r>
        <w:rPr>
          <w:color w:val="000000" w:themeColor="text1"/>
          <w:sz w:val="24"/>
          <w:szCs w:val="24"/>
        </w:rPr>
        <w:t xml:space="preserve"> электронная подпись</w:t>
      </w:r>
      <w:r w:rsidRPr="004533DB">
        <w:rPr>
          <w:color w:val="000000" w:themeColor="text1"/>
          <w:sz w:val="24"/>
          <w:szCs w:val="24"/>
        </w:rPr>
        <w:t>, имеет юридическую силу и действительна на всей территории страны.</w:t>
      </w:r>
      <w:r w:rsidRPr="004533DB">
        <w:rPr>
          <w:rFonts w:cs="Arial"/>
          <w:color w:val="000000" w:themeColor="text1"/>
          <w:sz w:val="24"/>
          <w:szCs w:val="24"/>
        </w:rPr>
        <w:t xml:space="preserve"> Такая подпись </w:t>
      </w:r>
      <w:r w:rsidRPr="004533DB">
        <w:rPr>
          <w:sz w:val="24"/>
          <w:szCs w:val="24"/>
        </w:rPr>
        <w:t xml:space="preserve">необходима при получении </w:t>
      </w:r>
      <w:proofErr w:type="spellStart"/>
      <w:r w:rsidRPr="004533DB">
        <w:rPr>
          <w:sz w:val="24"/>
          <w:szCs w:val="24"/>
        </w:rPr>
        <w:t>госуслуг</w:t>
      </w:r>
      <w:proofErr w:type="spellEnd"/>
      <w:r w:rsidRPr="004533DB">
        <w:rPr>
          <w:sz w:val="24"/>
          <w:szCs w:val="24"/>
        </w:rPr>
        <w:t xml:space="preserve"> в электронном виде</w:t>
      </w:r>
      <w:r w:rsidRPr="004533DB">
        <w:rPr>
          <w:rFonts w:cs="Arial"/>
          <w:color w:val="000000" w:themeColor="text1"/>
          <w:sz w:val="24"/>
          <w:szCs w:val="24"/>
        </w:rPr>
        <w:t xml:space="preserve">, позволяя экономить время и деньги: </w:t>
      </w:r>
      <w:r w:rsidRPr="004533DB">
        <w:rPr>
          <w:rFonts w:cs="Segoe UI"/>
          <w:color w:val="000000" w:themeColor="text1"/>
          <w:sz w:val="24"/>
          <w:szCs w:val="24"/>
        </w:rPr>
        <w:t xml:space="preserve">госпошлина и плата за предоставление услуг в электронном виде сокращаются на 30-87%. </w:t>
      </w:r>
    </w:p>
    <w:p w:rsidR="00CA11C1" w:rsidRPr="004533DB" w:rsidRDefault="00CA11C1" w:rsidP="00CA11C1">
      <w:pPr>
        <w:spacing w:after="0" w:line="240" w:lineRule="auto"/>
        <w:ind w:firstLine="709"/>
        <w:rPr>
          <w:color w:val="000000" w:themeColor="text1"/>
          <w:sz w:val="24"/>
          <w:szCs w:val="24"/>
        </w:rPr>
      </w:pPr>
      <w:r w:rsidRPr="004533DB">
        <w:rPr>
          <w:rFonts w:cs="Arial"/>
          <w:color w:val="000000" w:themeColor="text1"/>
          <w:sz w:val="24"/>
          <w:szCs w:val="24"/>
        </w:rPr>
        <w:t xml:space="preserve">С помощью электронной подписи можно </w:t>
      </w:r>
      <w:r w:rsidRPr="004533DB">
        <w:rPr>
          <w:rFonts w:cs="Segoe UI"/>
          <w:color w:val="000000" w:themeColor="text1"/>
          <w:sz w:val="24"/>
          <w:szCs w:val="24"/>
        </w:rPr>
        <w:t>поставить объект на кадастровый учет, зарегистрировать прав</w:t>
      </w:r>
      <w:r>
        <w:rPr>
          <w:rFonts w:cs="Segoe UI"/>
          <w:color w:val="000000" w:themeColor="text1"/>
          <w:sz w:val="24"/>
          <w:szCs w:val="24"/>
        </w:rPr>
        <w:t>о</w:t>
      </w:r>
      <w:r w:rsidRPr="004533DB">
        <w:rPr>
          <w:rFonts w:cs="Segoe UI"/>
          <w:color w:val="000000" w:themeColor="text1"/>
          <w:sz w:val="24"/>
          <w:szCs w:val="24"/>
        </w:rPr>
        <w:t xml:space="preserve"> собственности, получать сведения из ЕГРН, поставить автомобиль на учет, отслеживать санкции ГИБДД, получить ИНН, оформить анкету для получения </w:t>
      </w:r>
      <w:r>
        <w:rPr>
          <w:rFonts w:cs="Segoe UI"/>
          <w:color w:val="000000" w:themeColor="text1"/>
          <w:sz w:val="24"/>
          <w:szCs w:val="24"/>
        </w:rPr>
        <w:t>российского или загран</w:t>
      </w:r>
      <w:r w:rsidRPr="004533DB">
        <w:rPr>
          <w:rFonts w:cs="Segoe UI"/>
          <w:color w:val="000000" w:themeColor="text1"/>
          <w:sz w:val="24"/>
          <w:szCs w:val="24"/>
        </w:rPr>
        <w:t xml:space="preserve">паспорта, подать заявление для поступления в </w:t>
      </w:r>
      <w:r>
        <w:rPr>
          <w:rFonts w:cs="Segoe UI"/>
          <w:color w:val="000000" w:themeColor="text1"/>
          <w:sz w:val="24"/>
          <w:szCs w:val="24"/>
        </w:rPr>
        <w:t>вуз</w:t>
      </w:r>
      <w:r w:rsidRPr="004533DB">
        <w:rPr>
          <w:rFonts w:cs="Segoe UI"/>
          <w:color w:val="000000" w:themeColor="text1"/>
          <w:sz w:val="24"/>
          <w:szCs w:val="24"/>
        </w:rPr>
        <w:t xml:space="preserve">. </w:t>
      </w:r>
      <w:r>
        <w:rPr>
          <w:rFonts w:cs="Segoe UI"/>
          <w:color w:val="000000" w:themeColor="text1"/>
          <w:sz w:val="24"/>
          <w:szCs w:val="24"/>
        </w:rPr>
        <w:t>П</w:t>
      </w:r>
      <w:r w:rsidRPr="004533DB">
        <w:rPr>
          <w:rFonts w:cs="Segoe UI"/>
          <w:color w:val="000000" w:themeColor="text1"/>
          <w:sz w:val="24"/>
          <w:szCs w:val="24"/>
        </w:rPr>
        <w:t xml:space="preserve">еречень ведомств, предоставляющих </w:t>
      </w:r>
      <w:proofErr w:type="spellStart"/>
      <w:r w:rsidRPr="004533DB">
        <w:rPr>
          <w:rFonts w:cs="Segoe UI"/>
          <w:color w:val="000000" w:themeColor="text1"/>
          <w:sz w:val="24"/>
          <w:szCs w:val="24"/>
        </w:rPr>
        <w:t>госуслуги</w:t>
      </w:r>
      <w:proofErr w:type="spellEnd"/>
      <w:r w:rsidRPr="004533DB">
        <w:rPr>
          <w:rFonts w:cs="Segoe UI"/>
          <w:color w:val="000000" w:themeColor="text1"/>
          <w:sz w:val="24"/>
          <w:szCs w:val="24"/>
        </w:rPr>
        <w:t xml:space="preserve"> в электронном виде</w:t>
      </w:r>
      <w:r>
        <w:rPr>
          <w:rFonts w:cs="Segoe UI"/>
          <w:color w:val="000000" w:themeColor="text1"/>
          <w:sz w:val="24"/>
          <w:szCs w:val="24"/>
        </w:rPr>
        <w:t>,</w:t>
      </w:r>
      <w:r w:rsidRPr="004533DB">
        <w:rPr>
          <w:rFonts w:cs="Segoe UI"/>
          <w:color w:val="000000" w:themeColor="text1"/>
          <w:sz w:val="24"/>
          <w:szCs w:val="24"/>
        </w:rPr>
        <w:t xml:space="preserve"> представлен на официальном сайте удостоверяющего центра</w:t>
      </w:r>
      <w:r>
        <w:rPr>
          <w:rFonts w:cs="Segoe UI"/>
          <w:color w:val="000000" w:themeColor="text1"/>
          <w:sz w:val="24"/>
          <w:szCs w:val="24"/>
        </w:rPr>
        <w:t xml:space="preserve"> Кадастровой палаты</w:t>
      </w:r>
      <w:r w:rsidRPr="004533DB">
        <w:rPr>
          <w:rFonts w:cs="Segoe UI"/>
          <w:color w:val="000000" w:themeColor="text1"/>
          <w:sz w:val="24"/>
          <w:szCs w:val="24"/>
        </w:rPr>
        <w:t xml:space="preserve">: </w:t>
      </w:r>
      <w:hyperlink r:id="rId8" w:history="1">
        <w:r w:rsidRPr="004533DB">
          <w:rPr>
            <w:rStyle w:val="a9"/>
            <w:sz w:val="24"/>
            <w:szCs w:val="24"/>
          </w:rPr>
          <w:t>https://uc.kadastr.ru</w:t>
        </w:r>
      </w:hyperlink>
      <w:r>
        <w:rPr>
          <w:sz w:val="24"/>
          <w:szCs w:val="24"/>
        </w:rPr>
        <w:t>.</w:t>
      </w:r>
    </w:p>
    <w:p w:rsidR="00CA11C1" w:rsidRDefault="00CA11C1" w:rsidP="00CA11C1">
      <w:pPr>
        <w:spacing w:after="0" w:line="240" w:lineRule="auto"/>
        <w:ind w:firstLine="709"/>
        <w:rPr>
          <w:sz w:val="24"/>
          <w:szCs w:val="24"/>
        </w:rPr>
      </w:pPr>
      <w:r w:rsidRPr="004533DB">
        <w:rPr>
          <w:color w:val="000000" w:themeColor="text1"/>
          <w:sz w:val="24"/>
          <w:szCs w:val="24"/>
        </w:rPr>
        <w:t xml:space="preserve">Выданная удостоверяющим центром электронная подпись </w:t>
      </w:r>
      <w:r w:rsidRPr="004533DB">
        <w:rPr>
          <w:rFonts w:cs="Segoe UI"/>
          <w:color w:val="000000" w:themeColor="text1"/>
          <w:sz w:val="24"/>
          <w:szCs w:val="24"/>
        </w:rPr>
        <w:t xml:space="preserve">действительна в течение 15 месяцев, стоимость составляет 700 рублей. </w:t>
      </w:r>
      <w:r w:rsidRPr="004533DB">
        <w:rPr>
          <w:sz w:val="24"/>
          <w:szCs w:val="24"/>
        </w:rPr>
        <w:t xml:space="preserve">Информацию о порядке получения сертификата можно узнать по телефону: </w:t>
      </w:r>
      <w:r w:rsidRPr="001975D3">
        <w:rPr>
          <w:sz w:val="24"/>
          <w:szCs w:val="24"/>
        </w:rPr>
        <w:t>(383)314-51-00</w:t>
      </w:r>
      <w:r w:rsidRPr="004533DB">
        <w:rPr>
          <w:sz w:val="24"/>
          <w:szCs w:val="24"/>
        </w:rPr>
        <w:t xml:space="preserve">. </w:t>
      </w:r>
    </w:p>
    <w:p w:rsidR="00CA11C1" w:rsidRDefault="00CA11C1" w:rsidP="00CA11C1">
      <w:pPr>
        <w:spacing w:after="0" w:line="240" w:lineRule="auto"/>
        <w:ind w:firstLine="709"/>
        <w:rPr>
          <w:sz w:val="24"/>
          <w:szCs w:val="24"/>
        </w:rPr>
      </w:pPr>
      <w:r w:rsidRPr="004533DB">
        <w:rPr>
          <w:sz w:val="24"/>
          <w:szCs w:val="24"/>
        </w:rPr>
        <w:t xml:space="preserve">Также Кадастровая палата занимается оказанием консультационных услуг для физических и юридических лиц в сфере оформления недвижимости. Квалифицированные специалисты с многолетним опытом работы могут </w:t>
      </w:r>
      <w:r w:rsidRPr="004533DB">
        <w:rPr>
          <w:rFonts w:eastAsia="Calibri" w:cs="Times New Roman"/>
          <w:sz w:val="24"/>
          <w:szCs w:val="24"/>
        </w:rPr>
        <w:t>провести устное или письменное консультирование</w:t>
      </w:r>
      <w:r>
        <w:rPr>
          <w:rFonts w:eastAsia="Calibri" w:cs="Times New Roman"/>
          <w:sz w:val="24"/>
          <w:szCs w:val="24"/>
        </w:rPr>
        <w:t>;</w:t>
      </w:r>
      <w:r w:rsidRPr="004533DB">
        <w:rPr>
          <w:rFonts w:eastAsia="Calibri" w:cs="Times New Roman"/>
          <w:sz w:val="24"/>
          <w:szCs w:val="24"/>
        </w:rPr>
        <w:t xml:space="preserve"> подготовить проект договора</w:t>
      </w:r>
      <w:r>
        <w:rPr>
          <w:rFonts w:eastAsia="Calibri" w:cs="Times New Roman"/>
          <w:sz w:val="24"/>
          <w:szCs w:val="24"/>
        </w:rPr>
        <w:t xml:space="preserve"> купли-продажи, дарения, аренды;</w:t>
      </w:r>
      <w:r w:rsidRPr="004533DB">
        <w:rPr>
          <w:rFonts w:eastAsia="Calibri" w:cs="Times New Roman"/>
          <w:sz w:val="24"/>
          <w:szCs w:val="24"/>
        </w:rPr>
        <w:t xml:space="preserve"> проверить пакет документов для сделки. </w:t>
      </w:r>
      <w:r w:rsidRPr="004533DB">
        <w:rPr>
          <w:sz w:val="24"/>
          <w:szCs w:val="24"/>
        </w:rPr>
        <w:t xml:space="preserve">При необходимости специалисты могут подготовить письменную резолюцию. Для </w:t>
      </w:r>
      <w:r w:rsidRPr="004533DB">
        <w:rPr>
          <w:rFonts w:eastAsia="Calibri" w:cs="Times New Roman"/>
          <w:sz w:val="24"/>
          <w:szCs w:val="24"/>
        </w:rPr>
        <w:t xml:space="preserve">застройщиков многоквартирных жилых домов предусмотрены возможности тестирования </w:t>
      </w:r>
      <w:r w:rsidRPr="004533DB">
        <w:rPr>
          <w:rFonts w:eastAsia="Calibri" w:cs="Times New Roman"/>
          <w:sz w:val="24"/>
          <w:szCs w:val="24"/>
          <w:lang w:val="en-US"/>
        </w:rPr>
        <w:t>xml</w:t>
      </w:r>
      <w:r w:rsidRPr="004533DB">
        <w:rPr>
          <w:rFonts w:eastAsia="Calibri" w:cs="Times New Roman"/>
          <w:sz w:val="24"/>
          <w:szCs w:val="24"/>
        </w:rPr>
        <w:t>-файлов технического плана и проведения предварительной экспертизы документов для постановки на государственный кадастровый учет многоквартирного жилого дома.</w:t>
      </w:r>
    </w:p>
    <w:p w:rsidR="00CA11C1" w:rsidRDefault="00CA11C1" w:rsidP="00CA11C1">
      <w:pPr>
        <w:spacing w:after="0" w:line="240" w:lineRule="auto"/>
        <w:ind w:firstLine="709"/>
        <w:rPr>
          <w:rFonts w:eastAsia="Calibri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Стоимость</w:t>
      </w:r>
      <w:r w:rsidRPr="00B17D24">
        <w:rPr>
          <w:rFonts w:eastAsia="Times New Roman" w:cs="Times New Roman"/>
          <w:sz w:val="24"/>
          <w:szCs w:val="24"/>
        </w:rPr>
        <w:t xml:space="preserve"> консультаци</w:t>
      </w:r>
      <w:r>
        <w:rPr>
          <w:rFonts w:eastAsia="Times New Roman" w:cs="Times New Roman"/>
          <w:sz w:val="24"/>
          <w:szCs w:val="24"/>
        </w:rPr>
        <w:t>и</w:t>
      </w:r>
      <w:r w:rsidRPr="00B17D24">
        <w:rPr>
          <w:rFonts w:eastAsia="Times New Roman" w:cs="Times New Roman"/>
          <w:sz w:val="24"/>
          <w:szCs w:val="24"/>
        </w:rPr>
        <w:t xml:space="preserve"> варьируется </w:t>
      </w:r>
      <w:r w:rsidRPr="001975D3">
        <w:rPr>
          <w:rFonts w:eastAsia="Times New Roman" w:cs="Times New Roman"/>
          <w:sz w:val="24"/>
          <w:szCs w:val="24"/>
        </w:rPr>
        <w:t>от 720 до 1430 рублей</w:t>
      </w:r>
      <w:r w:rsidRPr="00B17D24">
        <w:rPr>
          <w:rFonts w:eastAsia="Times New Roman" w:cs="Times New Roman"/>
          <w:sz w:val="24"/>
          <w:szCs w:val="24"/>
        </w:rPr>
        <w:t xml:space="preserve"> в зависимости от вида и формы услуги. </w:t>
      </w:r>
      <w:r w:rsidRPr="004533DB">
        <w:rPr>
          <w:rFonts w:eastAsia="Calibri" w:cs="Times New Roman"/>
          <w:sz w:val="24"/>
          <w:szCs w:val="24"/>
        </w:rPr>
        <w:t xml:space="preserve">Подробную информацию о консультационных услугах Кадастровой палаты по Новосибирской области можно получить по телефону: </w:t>
      </w:r>
      <w:r w:rsidRPr="001975D3">
        <w:rPr>
          <w:rFonts w:eastAsia="Calibri" w:cs="Times New Roman"/>
          <w:sz w:val="24"/>
          <w:szCs w:val="24"/>
        </w:rPr>
        <w:t>(383)347-59-49</w:t>
      </w:r>
      <w:r w:rsidRPr="004533DB">
        <w:rPr>
          <w:rFonts w:eastAsia="Calibri" w:cs="Times New Roman"/>
          <w:sz w:val="24"/>
          <w:szCs w:val="24"/>
        </w:rPr>
        <w:t xml:space="preserve">. </w:t>
      </w:r>
    </w:p>
    <w:p w:rsidR="00CA11C1" w:rsidRDefault="00CA11C1" w:rsidP="00CA11C1">
      <w:pPr>
        <w:spacing w:after="0" w:line="240" w:lineRule="auto"/>
        <w:ind w:firstLine="709"/>
        <w:rPr>
          <w:rFonts w:eastAsia="Calibri" w:cs="Times New Roman"/>
          <w:sz w:val="24"/>
          <w:szCs w:val="24"/>
        </w:rPr>
      </w:pPr>
    </w:p>
    <w:p w:rsidR="00CA11C1" w:rsidRPr="00CA11C1" w:rsidRDefault="00CA11C1" w:rsidP="00CA11C1">
      <w:pPr>
        <w:spacing w:after="0" w:line="240" w:lineRule="auto"/>
        <w:ind w:firstLine="709"/>
        <w:jc w:val="right"/>
        <w:rPr>
          <w:rFonts w:eastAsia="Calibri" w:cs="Times New Roman"/>
          <w:i/>
          <w:sz w:val="20"/>
          <w:szCs w:val="20"/>
        </w:rPr>
      </w:pPr>
      <w:r w:rsidRPr="00CA11C1">
        <w:rPr>
          <w:rFonts w:eastAsia="Calibri" w:cs="Times New Roman"/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A8510D" w:rsidRPr="00D82973" w:rsidRDefault="00A8510D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sectPr w:rsidR="00A8510D" w:rsidRPr="00D82973" w:rsidSect="00B94D63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59D" w:rsidRDefault="00A7059D" w:rsidP="00A7059D">
      <w:pPr>
        <w:spacing w:after="0" w:line="240" w:lineRule="auto"/>
      </w:pPr>
      <w:r>
        <w:separator/>
      </w:r>
    </w:p>
  </w:endnote>
  <w:end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0B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6C740B" w:rsidRDefault="002866C7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eastAsia="Calibri" w:cs="Segoe UI"/>
        <w:sz w:val="17"/>
        <w:szCs w:val="17"/>
        <w:lang w:eastAsia="en-US"/>
      </w:rPr>
      <w:t>(383) 347-59-49</w:t>
    </w:r>
  </w:p>
  <w:p w:rsidR="006C740B" w:rsidRPr="006C740B" w:rsidRDefault="00751FA9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="001205AE" w:rsidRPr="005B5F9B">
        <w:rPr>
          <w:rStyle w:val="a9"/>
          <w:sz w:val="17"/>
          <w:szCs w:val="17"/>
          <w:lang w:val="en-US"/>
        </w:rPr>
        <w:t>press</w:t>
      </w:r>
      <w:r w:rsidR="001205AE" w:rsidRPr="005B5F9B">
        <w:rPr>
          <w:rStyle w:val="a9"/>
          <w:sz w:val="17"/>
          <w:szCs w:val="17"/>
        </w:rPr>
        <w:t>@54.</w:t>
      </w:r>
      <w:r w:rsidR="001205AE" w:rsidRPr="005B5F9B">
        <w:rPr>
          <w:rStyle w:val="a9"/>
          <w:sz w:val="17"/>
          <w:szCs w:val="17"/>
          <w:lang w:val="en-US"/>
        </w:rPr>
        <w:t>kadastr</w:t>
      </w:r>
      <w:r w:rsidR="001205AE" w:rsidRPr="005B5F9B">
        <w:rPr>
          <w:rStyle w:val="a9"/>
          <w:sz w:val="17"/>
          <w:szCs w:val="17"/>
        </w:rPr>
        <w:t>.</w:t>
      </w:r>
      <w:r w:rsidR="001205AE" w:rsidRPr="005B5F9B">
        <w:rPr>
          <w:rStyle w:val="a9"/>
          <w:sz w:val="17"/>
          <w:szCs w:val="17"/>
          <w:lang w:val="en-US"/>
        </w:rPr>
        <w:t>ru</w:t>
      </w:r>
    </w:hyperlink>
  </w:p>
  <w:p w:rsidR="00266DBD" w:rsidRDefault="00266D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59D" w:rsidRDefault="00A7059D" w:rsidP="00A7059D">
      <w:pPr>
        <w:spacing w:after="0" w:line="240" w:lineRule="auto"/>
      </w:pPr>
      <w:r>
        <w:separator/>
      </w:r>
    </w:p>
  </w:footnote>
  <w:foot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751FA9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5E" w:rsidRDefault="00A8510D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059D" w:rsidRDefault="00A705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751FA9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1205AE"/>
    <w:rsid w:val="00170B0D"/>
    <w:rsid w:val="0018070E"/>
    <w:rsid w:val="00266DBD"/>
    <w:rsid w:val="002866C7"/>
    <w:rsid w:val="002D2570"/>
    <w:rsid w:val="00353854"/>
    <w:rsid w:val="003E6480"/>
    <w:rsid w:val="00405FF5"/>
    <w:rsid w:val="004126C1"/>
    <w:rsid w:val="004D7657"/>
    <w:rsid w:val="00543941"/>
    <w:rsid w:val="00551784"/>
    <w:rsid w:val="005A415E"/>
    <w:rsid w:val="0065402A"/>
    <w:rsid w:val="006C740B"/>
    <w:rsid w:val="00751FA9"/>
    <w:rsid w:val="007B12EB"/>
    <w:rsid w:val="00806C7D"/>
    <w:rsid w:val="00831045"/>
    <w:rsid w:val="00831792"/>
    <w:rsid w:val="00864160"/>
    <w:rsid w:val="00A26900"/>
    <w:rsid w:val="00A7059D"/>
    <w:rsid w:val="00A8510D"/>
    <w:rsid w:val="00AF5AB7"/>
    <w:rsid w:val="00B94D63"/>
    <w:rsid w:val="00CA11C1"/>
    <w:rsid w:val="00CB2D01"/>
    <w:rsid w:val="00D82973"/>
    <w:rsid w:val="00E05B96"/>
    <w:rsid w:val="00EC76E5"/>
    <w:rsid w:val="00F07814"/>
    <w:rsid w:val="00F5080C"/>
    <w:rsid w:val="00F72F4B"/>
    <w:rsid w:val="00FA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.kadastr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884623-1AC3-4E7F-85C0-01EC2F520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363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Sidorova_LV</cp:lastModifiedBy>
  <cp:revision>36</cp:revision>
  <dcterms:created xsi:type="dcterms:W3CDTF">2016-04-07T02:40:00Z</dcterms:created>
  <dcterms:modified xsi:type="dcterms:W3CDTF">2019-01-14T02:42:00Z</dcterms:modified>
</cp:coreProperties>
</file>